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FD02A">
      <w:pPr>
        <w:rPr>
          <w:sz w:val="30"/>
        </w:rPr>
      </w:pPr>
    </w:p>
    <w:p w14:paraId="069B2656">
      <w:pPr>
        <w:rPr>
          <w:sz w:val="30"/>
        </w:rPr>
      </w:pPr>
    </w:p>
    <w:p w14:paraId="6C9F6346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65896F80">
      <w:pPr>
        <w:rPr>
          <w:b/>
          <w:sz w:val="30"/>
        </w:rPr>
      </w:pPr>
    </w:p>
    <w:p w14:paraId="78CE75F5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717C0C37">
      <w:pPr>
        <w:jc w:val="center"/>
        <w:rPr>
          <w:b/>
          <w:sz w:val="48"/>
        </w:rPr>
      </w:pPr>
    </w:p>
    <w:p w14:paraId="284E05C3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</w:rPr>
        <w:t>□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</w:rPr>
        <w:t>☑否</w:t>
      </w:r>
      <w:r>
        <w:rPr>
          <w:rFonts w:hint="eastAsia"/>
          <w:b/>
          <w:sz w:val="30"/>
        </w:rPr>
        <w:t>）</w:t>
      </w:r>
    </w:p>
    <w:p w14:paraId="4AF44E9C">
      <w:pPr>
        <w:rPr>
          <w:sz w:val="30"/>
        </w:rPr>
      </w:pPr>
    </w:p>
    <w:p w14:paraId="7818A0EC">
      <w:pPr>
        <w:rPr>
          <w:sz w:val="30"/>
        </w:rPr>
      </w:pPr>
    </w:p>
    <w:p w14:paraId="3C969907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5B845C1D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申 请 人 姓 名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刘骅        </w:t>
      </w:r>
    </w:p>
    <w:p w14:paraId="14847730">
      <w:pPr>
        <w:rPr>
          <w:sz w:val="30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>工商管理</w:t>
      </w:r>
      <w:r>
        <w:rPr>
          <w:rFonts w:hint="eastAsia"/>
          <w:sz w:val="30"/>
          <w:u w:val="single"/>
        </w:rPr>
        <w:t>学、金融审计</w:t>
      </w:r>
    </w:p>
    <w:p w14:paraId="6B6F3165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所  在  学  院  </w:t>
      </w:r>
      <w:r>
        <w:rPr>
          <w:rFonts w:hint="eastAsia"/>
          <w:sz w:val="30"/>
          <w:u w:val="single"/>
        </w:rPr>
        <w:t xml:space="preserve">       金融学院     </w:t>
      </w:r>
    </w:p>
    <w:p w14:paraId="40054203">
      <w:pPr>
        <w:rPr>
          <w:u w:val="single"/>
        </w:rPr>
      </w:pPr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</w:rPr>
        <w:t xml:space="preserve">      2025年</w:t>
      </w:r>
      <w:r>
        <w:rPr>
          <w:rFonts w:hint="eastAsia"/>
          <w:sz w:val="30"/>
          <w:u w:val="single"/>
          <w:lang w:val="en-US" w:eastAsia="zh-CN"/>
        </w:rPr>
        <w:t>11</w:t>
      </w:r>
      <w:r>
        <w:rPr>
          <w:rFonts w:hint="eastAsia"/>
          <w:sz w:val="30"/>
          <w:u w:val="single"/>
        </w:rPr>
        <w:t xml:space="preserve">月    </w:t>
      </w:r>
    </w:p>
    <w:p w14:paraId="044A7BC5">
      <w:pPr>
        <w:jc w:val="center"/>
      </w:pPr>
    </w:p>
    <w:p w14:paraId="5F25FBC9">
      <w:pPr>
        <w:jc w:val="center"/>
      </w:pPr>
    </w:p>
    <w:p w14:paraId="39FC7229">
      <w:pPr>
        <w:jc w:val="center"/>
      </w:pPr>
    </w:p>
    <w:p w14:paraId="6FEDE6BD">
      <w:pPr>
        <w:jc w:val="center"/>
      </w:pPr>
    </w:p>
    <w:p w14:paraId="01D2F660">
      <w:pPr>
        <w:jc w:val="center"/>
      </w:pPr>
    </w:p>
    <w:p w14:paraId="5BEAF01A">
      <w:pPr>
        <w:jc w:val="center"/>
      </w:pPr>
    </w:p>
    <w:p w14:paraId="1E188465">
      <w:pPr>
        <w:jc w:val="center"/>
      </w:pPr>
    </w:p>
    <w:p w14:paraId="27D11CB3">
      <w:pPr>
        <w:jc w:val="center"/>
      </w:pPr>
    </w:p>
    <w:p w14:paraId="734B0F7B">
      <w:r>
        <w:rPr>
          <w:rFonts w:hint="eastAsia"/>
        </w:rPr>
        <w:t xml:space="preserve"> </w:t>
      </w:r>
    </w:p>
    <w:p w14:paraId="68700AC5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2BFBBA84">
      <w:pPr>
        <w:jc w:val="center"/>
        <w:rPr>
          <w:sz w:val="24"/>
        </w:rPr>
      </w:pPr>
    </w:p>
    <w:p w14:paraId="39250F4B">
      <w:pPr>
        <w:rPr>
          <w:sz w:val="24"/>
        </w:rPr>
      </w:pPr>
    </w:p>
    <w:p w14:paraId="513C9DE7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43EE302E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770D42E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3D1E1986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7C1D6B06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5B97AC36">
      <w:r>
        <w:br w:type="page"/>
      </w:r>
    </w:p>
    <w:p w14:paraId="41A0C15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6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986"/>
        <w:gridCol w:w="1080"/>
        <w:gridCol w:w="900"/>
        <w:gridCol w:w="1013"/>
        <w:gridCol w:w="180"/>
        <w:gridCol w:w="1080"/>
        <w:gridCol w:w="900"/>
        <w:gridCol w:w="978"/>
      </w:tblGrid>
      <w:tr w14:paraId="3BBA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52A3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14:paraId="0A6BA532">
            <w:pPr>
              <w:jc w:val="center"/>
            </w:pPr>
            <w:r>
              <w:rPr>
                <w:rFonts w:hint="eastAsia"/>
              </w:rPr>
              <w:t>刘骅</w:t>
            </w:r>
          </w:p>
        </w:tc>
        <w:tc>
          <w:tcPr>
            <w:tcW w:w="1080" w:type="dxa"/>
            <w:vAlign w:val="center"/>
          </w:tcPr>
          <w:p w14:paraId="79275EAA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4529529A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1D55481E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4BA2280E">
            <w:pPr>
              <w:jc w:val="center"/>
            </w:pPr>
            <w:r>
              <w:rPr>
                <w:rFonts w:hint="eastAsia"/>
              </w:rPr>
              <w:t>1978年10月</w:t>
            </w:r>
          </w:p>
        </w:tc>
        <w:tc>
          <w:tcPr>
            <w:tcW w:w="900" w:type="dxa"/>
            <w:vAlign w:val="center"/>
          </w:tcPr>
          <w:p w14:paraId="28580576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0C37C9ED">
            <w:pPr>
              <w:jc w:val="center"/>
            </w:pPr>
            <w:r>
              <w:rPr>
                <w:rFonts w:hint="eastAsia"/>
              </w:rPr>
              <w:t>汉</w:t>
            </w:r>
          </w:p>
        </w:tc>
      </w:tr>
      <w:tr w14:paraId="4904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9" w:type="dxa"/>
            <w:tcBorders>
              <w:top w:val="nil"/>
            </w:tcBorders>
            <w:vAlign w:val="center"/>
          </w:tcPr>
          <w:p w14:paraId="5CB84F47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986" w:type="dxa"/>
            <w:vAlign w:val="center"/>
          </w:tcPr>
          <w:p w14:paraId="3DB926A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5ED68D59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6937BCAD">
            <w:pPr>
              <w:jc w:val="center"/>
            </w:pPr>
            <w:r>
              <w:rPr>
                <w:rFonts w:hint="eastAsia"/>
              </w:rPr>
              <w:t>2019年9月</w:t>
            </w:r>
          </w:p>
        </w:tc>
        <w:tc>
          <w:tcPr>
            <w:tcW w:w="1193" w:type="dxa"/>
            <w:gridSpan w:val="2"/>
            <w:vAlign w:val="center"/>
          </w:tcPr>
          <w:p w14:paraId="63620600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6276A06E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763573AB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4F050FF7">
            <w:pPr>
              <w:jc w:val="center"/>
            </w:pPr>
            <w:r>
              <w:rPr>
                <w:rFonts w:hint="eastAsia"/>
              </w:rPr>
              <w:t>中共</w:t>
            </w:r>
          </w:p>
          <w:p w14:paraId="61A1EDB6">
            <w:pPr>
              <w:jc w:val="center"/>
            </w:pPr>
            <w:r>
              <w:rPr>
                <w:rFonts w:hint="eastAsia"/>
              </w:rPr>
              <w:t>党员</w:t>
            </w:r>
          </w:p>
        </w:tc>
      </w:tr>
      <w:tr w14:paraId="48071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519" w:type="dxa"/>
            <w:vAlign w:val="center"/>
          </w:tcPr>
          <w:p w14:paraId="748A3DDC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986" w:type="dxa"/>
            <w:vAlign w:val="center"/>
          </w:tcPr>
          <w:p w14:paraId="322DBC97">
            <w:pPr>
              <w:jc w:val="center"/>
            </w:pPr>
            <w:r>
              <w:rPr>
                <w:rFonts w:hint="eastAsia"/>
              </w:rPr>
              <w:t>副院长</w:t>
            </w:r>
          </w:p>
        </w:tc>
        <w:tc>
          <w:tcPr>
            <w:tcW w:w="1080" w:type="dxa"/>
            <w:vAlign w:val="center"/>
          </w:tcPr>
          <w:p w14:paraId="007FF3D9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419C351E">
            <w:pPr>
              <w:jc w:val="center"/>
            </w:pPr>
            <w:r>
              <w:rPr>
                <w:rFonts w:hint="eastAsia"/>
              </w:rPr>
              <w:t>金融风险与审计</w:t>
            </w:r>
          </w:p>
        </w:tc>
      </w:tr>
      <w:tr w14:paraId="333F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519" w:type="dxa"/>
            <w:vAlign w:val="center"/>
          </w:tcPr>
          <w:p w14:paraId="3EDEB139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404DEF09">
            <w:r>
              <w:rPr>
                <w:rFonts w:hint="eastAsia"/>
              </w:rPr>
              <w:t>和最后学历</w:t>
            </w:r>
          </w:p>
          <w:p w14:paraId="44E7B91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117" w:type="dxa"/>
            <w:gridSpan w:val="8"/>
            <w:vAlign w:val="center"/>
          </w:tcPr>
          <w:p w14:paraId="01C8A7B4">
            <w:pPr>
              <w:ind w:firstLine="420" w:firstLineChars="200"/>
            </w:pPr>
            <w:r>
              <w:rPr>
                <w:rFonts w:hint="eastAsia"/>
              </w:rPr>
              <w:t xml:space="preserve">管理学博士学位 研究生学历（2010年6月、武汉理工大学管理学院、金融工程与管理） </w:t>
            </w:r>
          </w:p>
        </w:tc>
      </w:tr>
      <w:tr w14:paraId="5EFF8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19" w:type="dxa"/>
            <w:vAlign w:val="center"/>
          </w:tcPr>
          <w:p w14:paraId="70F2DE20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117" w:type="dxa"/>
            <w:gridSpan w:val="8"/>
            <w:vAlign w:val="center"/>
          </w:tcPr>
          <w:p w14:paraId="6F57A5AB">
            <w:pPr>
              <w:ind w:firstLine="420" w:firstLineChars="200"/>
            </w:pPr>
            <w:r>
              <w:rPr>
                <w:rFonts w:hint="eastAsia"/>
              </w:rPr>
              <w:t>江苏省资本市场研究会理事，江苏省紫金产业与金融创新发展研究院理事兼研究员，江苏省妇女儿童福利基金会投资理财顾问，南京市数字金融研究会副会长，宿迁市金融创新联合实验室主任。</w:t>
            </w:r>
          </w:p>
        </w:tc>
      </w:tr>
      <w:tr w14:paraId="2C5C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19" w:type="dxa"/>
            <w:vAlign w:val="center"/>
          </w:tcPr>
          <w:p w14:paraId="00DEFD68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3979" w:type="dxa"/>
            <w:gridSpan w:val="4"/>
            <w:vAlign w:val="center"/>
          </w:tcPr>
          <w:p w14:paraId="5984CE2F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南京市鼓楼区牌楼巷怡景花园17栋</w:t>
            </w:r>
          </w:p>
        </w:tc>
        <w:tc>
          <w:tcPr>
            <w:tcW w:w="1260" w:type="dxa"/>
            <w:gridSpan w:val="2"/>
            <w:vAlign w:val="center"/>
          </w:tcPr>
          <w:p w14:paraId="7362A444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7D8FA047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210009</w:t>
            </w:r>
          </w:p>
        </w:tc>
      </w:tr>
      <w:tr w14:paraId="3162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19" w:type="dxa"/>
            <w:vAlign w:val="center"/>
          </w:tcPr>
          <w:p w14:paraId="2D30CEE9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3979" w:type="dxa"/>
            <w:gridSpan w:val="4"/>
            <w:vAlign w:val="center"/>
          </w:tcPr>
          <w:p w14:paraId="2493ADC6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南京审计大学金融学院</w:t>
            </w:r>
          </w:p>
        </w:tc>
        <w:tc>
          <w:tcPr>
            <w:tcW w:w="1260" w:type="dxa"/>
            <w:gridSpan w:val="2"/>
            <w:vAlign w:val="center"/>
          </w:tcPr>
          <w:p w14:paraId="5F0D39C2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4C77E318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211815</w:t>
            </w:r>
          </w:p>
        </w:tc>
      </w:tr>
      <w:tr w14:paraId="205BA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19" w:type="dxa"/>
            <w:vAlign w:val="center"/>
          </w:tcPr>
          <w:p w14:paraId="0AA3639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3979" w:type="dxa"/>
            <w:gridSpan w:val="4"/>
            <w:vAlign w:val="center"/>
          </w:tcPr>
          <w:p w14:paraId="1F606D39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420502197810290012</w:t>
            </w:r>
          </w:p>
        </w:tc>
        <w:tc>
          <w:tcPr>
            <w:tcW w:w="1260" w:type="dxa"/>
            <w:gridSpan w:val="2"/>
            <w:vAlign w:val="center"/>
          </w:tcPr>
          <w:p w14:paraId="54F6FED7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7810086F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18724003151</w:t>
            </w:r>
          </w:p>
        </w:tc>
      </w:tr>
      <w:tr w14:paraId="51F2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19" w:type="dxa"/>
            <w:vAlign w:val="center"/>
          </w:tcPr>
          <w:p w14:paraId="38C60F5C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117" w:type="dxa"/>
            <w:gridSpan w:val="8"/>
            <w:vAlign w:val="center"/>
          </w:tcPr>
          <w:p w14:paraId="079005C5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230097@nau.edu.cn</w:t>
            </w:r>
          </w:p>
        </w:tc>
      </w:tr>
      <w:tr w14:paraId="0364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1D9D74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3B1C2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519" w:type="dxa"/>
            <w:vAlign w:val="center"/>
          </w:tcPr>
          <w:p w14:paraId="405CAA58">
            <w:r>
              <w:rPr>
                <w:rFonts w:hint="eastAsia"/>
              </w:rPr>
              <w:t xml:space="preserve">  自何年月</w:t>
            </w:r>
          </w:p>
          <w:p w14:paraId="0E1DDDC8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239" w:type="dxa"/>
            <w:gridSpan w:val="6"/>
            <w:vAlign w:val="center"/>
          </w:tcPr>
          <w:p w14:paraId="776E9DCB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3B815B50">
            <w:r>
              <w:rPr>
                <w:rFonts w:hint="eastAsia"/>
              </w:rPr>
              <w:t xml:space="preserve">    任   职</w:t>
            </w:r>
          </w:p>
        </w:tc>
      </w:tr>
      <w:tr w14:paraId="11F9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vAlign w:val="center"/>
          </w:tcPr>
          <w:p w14:paraId="2392BFC6">
            <w:pPr>
              <w:jc w:val="center"/>
            </w:pPr>
            <w:r>
              <w:t>1997年9月 - 2001年6月</w:t>
            </w:r>
          </w:p>
        </w:tc>
        <w:tc>
          <w:tcPr>
            <w:tcW w:w="5239" w:type="dxa"/>
            <w:gridSpan w:val="6"/>
            <w:vAlign w:val="center"/>
          </w:tcPr>
          <w:p w14:paraId="6E0631F7">
            <w:pPr>
              <w:jc w:val="center"/>
            </w:pPr>
            <w:r>
              <w:rPr>
                <w:rFonts w:hint="eastAsia"/>
              </w:rPr>
              <w:t>武汉轻工大学 经济与管理学院</w:t>
            </w:r>
          </w:p>
        </w:tc>
        <w:tc>
          <w:tcPr>
            <w:tcW w:w="1878" w:type="dxa"/>
            <w:gridSpan w:val="2"/>
            <w:vAlign w:val="center"/>
          </w:tcPr>
          <w:p w14:paraId="68D7587A">
            <w:pPr>
              <w:jc w:val="center"/>
            </w:pPr>
            <w:r>
              <w:rPr>
                <w:rFonts w:hint="eastAsia"/>
              </w:rPr>
              <w:t>本科生</w:t>
            </w:r>
          </w:p>
        </w:tc>
      </w:tr>
      <w:tr w14:paraId="1EEE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vAlign w:val="center"/>
          </w:tcPr>
          <w:p w14:paraId="3DE3B510">
            <w:pPr>
              <w:jc w:val="center"/>
            </w:pPr>
            <w:r>
              <w:t>2004年9 月- 2007年6月</w:t>
            </w:r>
          </w:p>
        </w:tc>
        <w:tc>
          <w:tcPr>
            <w:tcW w:w="5239" w:type="dxa"/>
            <w:gridSpan w:val="6"/>
            <w:vAlign w:val="center"/>
          </w:tcPr>
          <w:p w14:paraId="3D069906">
            <w:pPr>
              <w:jc w:val="center"/>
            </w:pPr>
            <w:r>
              <w:rPr>
                <w:rFonts w:hint="eastAsia"/>
              </w:rPr>
              <w:t>武汉理工大学 管理学院</w:t>
            </w:r>
          </w:p>
        </w:tc>
        <w:tc>
          <w:tcPr>
            <w:tcW w:w="1878" w:type="dxa"/>
            <w:gridSpan w:val="2"/>
            <w:vAlign w:val="center"/>
          </w:tcPr>
          <w:p w14:paraId="3E10A70E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14:paraId="24819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vAlign w:val="center"/>
          </w:tcPr>
          <w:p w14:paraId="21763236">
            <w:pPr>
              <w:jc w:val="center"/>
            </w:pPr>
            <w:r>
              <w:t>2007年9月 - 2010年6月</w:t>
            </w:r>
          </w:p>
        </w:tc>
        <w:tc>
          <w:tcPr>
            <w:tcW w:w="5239" w:type="dxa"/>
            <w:gridSpan w:val="6"/>
            <w:vAlign w:val="center"/>
          </w:tcPr>
          <w:p w14:paraId="2378815E">
            <w:pPr>
              <w:jc w:val="center"/>
            </w:pPr>
            <w:r>
              <w:rPr>
                <w:rFonts w:hint="eastAsia"/>
              </w:rPr>
              <w:t>武汉理工大学 管理学院</w:t>
            </w:r>
          </w:p>
        </w:tc>
        <w:tc>
          <w:tcPr>
            <w:tcW w:w="1878" w:type="dxa"/>
            <w:gridSpan w:val="2"/>
            <w:vAlign w:val="center"/>
          </w:tcPr>
          <w:p w14:paraId="27306063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</w:tr>
      <w:tr w14:paraId="7201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shd w:val="clear" w:color="auto" w:fill="auto"/>
            <w:vAlign w:val="center"/>
          </w:tcPr>
          <w:p w14:paraId="764E15F2">
            <w:pPr>
              <w:jc w:val="center"/>
            </w:pPr>
            <w:r>
              <w:t>2013年4月-</w:t>
            </w:r>
          </w:p>
          <w:p w14:paraId="3EAA70AA">
            <w:pPr>
              <w:jc w:val="center"/>
            </w:pPr>
            <w:r>
              <w:t>2017年1月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14:paraId="572919D1">
            <w:pPr>
              <w:jc w:val="center"/>
            </w:pPr>
            <w:r>
              <w:rPr>
                <w:rFonts w:hint="eastAsia"/>
              </w:rPr>
              <w:t>南京大学 工程管理学院</w:t>
            </w:r>
          </w:p>
        </w:tc>
        <w:tc>
          <w:tcPr>
            <w:tcW w:w="1878" w:type="dxa"/>
            <w:gridSpan w:val="2"/>
            <w:shd w:val="clear" w:color="auto" w:fill="auto"/>
            <w:vAlign w:val="center"/>
          </w:tcPr>
          <w:p w14:paraId="7C2DE831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</w:tr>
      <w:tr w14:paraId="4BDC8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shd w:val="clear" w:color="auto" w:fill="auto"/>
            <w:vAlign w:val="center"/>
          </w:tcPr>
          <w:p w14:paraId="11090388">
            <w:pPr>
              <w:jc w:val="center"/>
            </w:pPr>
            <w:r>
              <w:t>2018年10 月- 2019年4月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14:paraId="3BB515A7">
            <w:pPr>
              <w:jc w:val="center"/>
            </w:pPr>
            <w:r>
              <w:rPr>
                <w:rFonts w:hint="eastAsia"/>
              </w:rPr>
              <w:t>美国南加州大学（</w:t>
            </w:r>
            <w:r>
              <w:t>USC</w:t>
            </w:r>
            <w:r>
              <w:rPr>
                <w:rFonts w:hint="eastAsia"/>
              </w:rPr>
              <w:t>）</w:t>
            </w:r>
            <w:r>
              <w:t>Marshall</w:t>
            </w:r>
            <w:r>
              <w:rPr>
                <w:rFonts w:hint="eastAsia"/>
              </w:rPr>
              <w:t>商学院</w:t>
            </w:r>
          </w:p>
        </w:tc>
        <w:tc>
          <w:tcPr>
            <w:tcW w:w="1878" w:type="dxa"/>
            <w:gridSpan w:val="2"/>
            <w:shd w:val="clear" w:color="auto" w:fill="auto"/>
            <w:vAlign w:val="center"/>
          </w:tcPr>
          <w:p w14:paraId="43131FEE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</w:tr>
      <w:tr w14:paraId="6F74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  <w:shd w:val="clear" w:color="auto" w:fill="auto"/>
            <w:vAlign w:val="center"/>
          </w:tcPr>
          <w:p w14:paraId="621B9D8D">
            <w:pPr>
              <w:jc w:val="center"/>
            </w:pPr>
            <w:r>
              <w:t>2010年6月-至今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14:paraId="2FDEC1EF">
            <w:pPr>
              <w:jc w:val="center"/>
            </w:pPr>
            <w:r>
              <w:rPr>
                <w:rFonts w:hint="eastAsia"/>
              </w:rPr>
              <w:t>南京审计大学 金融学院</w:t>
            </w:r>
          </w:p>
        </w:tc>
        <w:tc>
          <w:tcPr>
            <w:tcW w:w="1878" w:type="dxa"/>
            <w:gridSpan w:val="2"/>
            <w:shd w:val="clear" w:color="auto" w:fill="auto"/>
            <w:vAlign w:val="center"/>
          </w:tcPr>
          <w:p w14:paraId="046051AB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</w:tr>
      <w:tr w14:paraId="6443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</w:tcPr>
          <w:p w14:paraId="2AEE0036"/>
        </w:tc>
        <w:tc>
          <w:tcPr>
            <w:tcW w:w="5239" w:type="dxa"/>
            <w:gridSpan w:val="6"/>
          </w:tcPr>
          <w:p w14:paraId="3D022875"/>
        </w:tc>
        <w:tc>
          <w:tcPr>
            <w:tcW w:w="1878" w:type="dxa"/>
            <w:gridSpan w:val="2"/>
          </w:tcPr>
          <w:p w14:paraId="33D157D5"/>
        </w:tc>
      </w:tr>
      <w:tr w14:paraId="1130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519" w:type="dxa"/>
          </w:tcPr>
          <w:p w14:paraId="6FA0CE66"/>
        </w:tc>
        <w:tc>
          <w:tcPr>
            <w:tcW w:w="5239" w:type="dxa"/>
            <w:gridSpan w:val="6"/>
          </w:tcPr>
          <w:p w14:paraId="630EBD0C"/>
        </w:tc>
        <w:tc>
          <w:tcPr>
            <w:tcW w:w="1878" w:type="dxa"/>
            <w:gridSpan w:val="2"/>
          </w:tcPr>
          <w:p w14:paraId="0EB643A4"/>
        </w:tc>
      </w:tr>
    </w:tbl>
    <w:p w14:paraId="13576E60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713B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9" w:hRule="atLeast"/>
        </w:trPr>
        <w:tc>
          <w:tcPr>
            <w:tcW w:w="9288" w:type="dxa"/>
          </w:tcPr>
          <w:p w14:paraId="6E002514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681C221E"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color w:val="404040"/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  <w:shd w:val="clear" w:color="auto" w:fill="FFFFFF"/>
              </w:rPr>
              <w:t>在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工商管理学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博士学位点培养拔尖创新人才，需依托深厚的学科积淀与实践经验，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本人的具体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思路、计划与举措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如下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：</w:t>
            </w:r>
          </w:p>
          <w:p w14:paraId="4F1FBAFE">
            <w:pPr>
              <w:pStyle w:val="2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rFonts w:hint="default" w:ascii="黑体" w:hAnsi="黑体" w:eastAsia="黑体" w:cs="黑体"/>
                <w:color w:val="404040"/>
                <w:sz w:val="21"/>
                <w:szCs w:val="21"/>
              </w:rPr>
            </w:pPr>
            <w:r>
              <w:rPr>
                <w:rStyle w:val="8"/>
                <w:rFonts w:ascii="黑体" w:hAnsi="黑体" w:eastAsia="黑体" w:cs="黑体"/>
                <w:b/>
                <w:color w:val="404040"/>
                <w:sz w:val="21"/>
                <w:szCs w:val="21"/>
                <w:shd w:val="clear" w:color="auto" w:fill="FFFFFF"/>
              </w:rPr>
              <w:t>（一）培养思路</w:t>
            </w:r>
          </w:p>
          <w:p w14:paraId="43C46EA2"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color w:val="404040"/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  <w:shd w:val="clear" w:color="auto" w:fill="FFFFFF"/>
              </w:rPr>
              <w:t>以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“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理论+实践+创新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”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为导向，立足金融风险与审计研究前沿，融合地方政府债务治理、数字金融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风险监管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等核心领域，构建跨学科、重实践、国际化的培养体系。通过科研项目驱动、国际交流拓展、产学研协同，培养具备学术创新能力、政策分析能力和技术应用能力的复合型高端人才。</w:t>
            </w:r>
          </w:p>
          <w:p w14:paraId="46F1D507">
            <w:pPr>
              <w:pStyle w:val="2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rFonts w:hint="default" w:ascii="黑体" w:hAnsi="黑体" w:eastAsia="黑体" w:cs="黑体"/>
                <w:color w:val="404040"/>
                <w:sz w:val="21"/>
                <w:szCs w:val="21"/>
              </w:rPr>
            </w:pPr>
            <w:r>
              <w:rPr>
                <w:rStyle w:val="8"/>
                <w:rFonts w:ascii="黑体" w:hAnsi="黑体" w:eastAsia="黑体" w:cs="黑体"/>
                <w:b/>
                <w:color w:val="404040"/>
                <w:sz w:val="21"/>
                <w:szCs w:val="21"/>
                <w:shd w:val="clear" w:color="auto" w:fill="FFFFFF"/>
              </w:rPr>
              <w:t>（二）具体计划</w:t>
            </w:r>
          </w:p>
          <w:p w14:paraId="0E243703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1.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课程体系优化</w:t>
            </w:r>
          </w:p>
          <w:p w14:paraId="008DFD0D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（1）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开设《金融审计理论与方法》《数字金融风险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与监管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》等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选修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课程，融入国家级课题研究成果及实务案例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7008E7AE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（2）在上述课程中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引入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系统动力学、空间计量、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大数据分析等工具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方法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，强化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博士生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定量分析与技术应用能力。</w:t>
            </w:r>
          </w:p>
          <w:p w14:paraId="7D728B95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2.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科研能力提升</w:t>
            </w:r>
          </w:p>
          <w:p w14:paraId="72EEE338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（1）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依托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本人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主持的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纵向与横向课题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，为博士生提供参与重大课题的机会，聚焦隐性债务审计、PPP项目绩效评价等现实问题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2D93BD39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（2）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鼓励博士生在SSCI/CSSCI期刊发表论文，支持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其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参与学术会议并作报告。</w:t>
            </w:r>
          </w:p>
          <w:p w14:paraId="2624B248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3.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国际视野拓展</w:t>
            </w:r>
          </w:p>
          <w:p w14:paraId="5CBD129E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color w:val="404040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（1）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借助南加州大学访学经验，推动博士生赴海外合作院校（如USC）短期研修，参与国际联合研究项目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52968B9B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（2）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邀请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世界银行前高管、</w:t>
            </w:r>
            <w:r>
              <w:rPr>
                <w:i/>
                <w:iCs/>
                <w:color w:val="404040"/>
                <w:sz w:val="21"/>
                <w:szCs w:val="21"/>
                <w:shd w:val="clear" w:color="auto" w:fill="FFFFFF"/>
              </w:rPr>
              <w:t>Emerging Markets Finance and Trade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国际期刊编委开设学术讲座。</w:t>
            </w:r>
          </w:p>
          <w:p w14:paraId="494C94B0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4.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产学研协同培养</w:t>
            </w:r>
          </w:p>
          <w:p w14:paraId="65CC0BE0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（1）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联合江苏省金融研究院、农村商业银行等实践平台，组织博士生参与地方政府债务审计、金融科技项目评估等实务工作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1BA42A65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（2）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引入本人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与江苏信保集团联合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开发的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“6C</w:t>
            </w:r>
            <w:r>
              <w:rPr>
                <w:rFonts w:hint="eastAsia" w:ascii="宋体" w:hAnsi="宋体" w:cs="宋体"/>
                <w:color w:val="404040"/>
                <w:sz w:val="21"/>
                <w:szCs w:val="21"/>
                <w:shd w:val="clear" w:color="auto" w:fill="FFFFFF"/>
              </w:rPr>
              <w:t>”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信用评级系统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拓展博士生金融信息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技术应用能力。</w:t>
            </w:r>
          </w:p>
          <w:p w14:paraId="40C38751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5.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个性化发展支持</w:t>
            </w:r>
          </w:p>
          <w:p w14:paraId="39601248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（1）支持博士生申报研创项目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，支持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其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自主设计跨学科课题（如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“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数字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经济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+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金融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审计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”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）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3C7F236B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（2）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依托社会兼职资源（如独立董事、政策顾问），为博士生提供政策咨询与职业发展指导。</w:t>
            </w:r>
          </w:p>
          <w:p w14:paraId="053C4314">
            <w:pPr>
              <w:pStyle w:val="2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rFonts w:hint="default" w:ascii="黑体" w:hAnsi="黑体" w:eastAsia="黑体" w:cs="黑体"/>
                <w:color w:val="404040"/>
                <w:sz w:val="21"/>
                <w:szCs w:val="21"/>
              </w:rPr>
            </w:pPr>
            <w:r>
              <w:rPr>
                <w:rStyle w:val="8"/>
                <w:rFonts w:ascii="黑体" w:hAnsi="黑体" w:eastAsia="黑体" w:cs="黑体"/>
                <w:b/>
                <w:color w:val="404040"/>
                <w:sz w:val="21"/>
                <w:szCs w:val="21"/>
                <w:shd w:val="clear" w:color="auto" w:fill="FFFFFF"/>
              </w:rPr>
              <w:t>（三）关键举措</w:t>
            </w:r>
          </w:p>
          <w:p w14:paraId="0911BA81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1.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导师团队共建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：联合校内外审计、金融、数据科学领域专家，组建跨学科导师组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3142C16B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2.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学术生态营造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：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积极参与全国投资学年会，金融审计与风险管理年会，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定期举办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“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金融风险与审计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”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学术沙龙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；</w:t>
            </w:r>
          </w:p>
          <w:p w14:paraId="50FD0DB2">
            <w:pPr>
              <w:pStyle w:val="5"/>
              <w:widowControl/>
              <w:adjustRightInd w:val="0"/>
              <w:snapToGrid w:val="0"/>
              <w:spacing w:beforeAutospacing="0" w:afterAutospacing="0" w:line="360" w:lineRule="exact"/>
              <w:ind w:firstLine="422" w:firstLineChars="200"/>
              <w:jc w:val="both"/>
              <w:rPr>
                <w:sz w:val="21"/>
                <w:szCs w:val="21"/>
              </w:rPr>
            </w:pPr>
            <w:r>
              <w:rPr>
                <w:rStyle w:val="8"/>
                <w:rFonts w:hint="eastAsia"/>
                <w:color w:val="404040"/>
                <w:sz w:val="21"/>
                <w:szCs w:val="21"/>
                <w:shd w:val="clear" w:color="auto" w:fill="FFFFFF"/>
              </w:rPr>
              <w:t>3.</w:t>
            </w:r>
            <w:r>
              <w:rPr>
                <w:rStyle w:val="8"/>
                <w:color w:val="404040"/>
                <w:sz w:val="21"/>
                <w:szCs w:val="21"/>
                <w:shd w:val="clear" w:color="auto" w:fill="FFFFFF"/>
              </w:rPr>
              <w:t>动态评估机制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：实行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“季度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学术汇报+中期考核+成果导向毕业标准</w:t>
            </w:r>
            <w:r>
              <w:rPr>
                <w:rFonts w:hint="eastAsia"/>
                <w:color w:val="404040"/>
                <w:sz w:val="21"/>
                <w:szCs w:val="21"/>
                <w:shd w:val="clear" w:color="auto" w:fill="FFFFFF"/>
              </w:rPr>
              <w:t>”</w:t>
            </w:r>
            <w:r>
              <w:rPr>
                <w:color w:val="404040"/>
                <w:sz w:val="21"/>
                <w:szCs w:val="21"/>
                <w:shd w:val="clear" w:color="auto" w:fill="FFFFFF"/>
              </w:rPr>
              <w:t>，确保培养质量。</w:t>
            </w:r>
          </w:p>
          <w:p w14:paraId="598309E8"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360" w:lineRule="exact"/>
              <w:ind w:firstLine="420" w:firstLineChars="200"/>
              <w:jc w:val="both"/>
              <w:rPr>
                <w:color w:val="404040"/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  <w:shd w:val="clear" w:color="auto" w:fill="FFFFFF"/>
              </w:rPr>
              <w:t>通过以上路径，培养兼具学术深度、实践广度与国际视野的金融审计领军人才，助力国家金融安全与治理现代化。</w:t>
            </w:r>
          </w:p>
          <w:p w14:paraId="014C7B3C"/>
        </w:tc>
      </w:tr>
    </w:tbl>
    <w:p w14:paraId="39F96F2C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571"/>
        <w:gridCol w:w="632"/>
        <w:gridCol w:w="426"/>
        <w:gridCol w:w="567"/>
        <w:gridCol w:w="816"/>
      </w:tblGrid>
      <w:tr w14:paraId="35CF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7645295E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33DB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F6D32A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00AF140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73D378B8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919" w:type="dxa"/>
            <w:gridSpan w:val="4"/>
            <w:vAlign w:val="center"/>
          </w:tcPr>
          <w:p w14:paraId="6C6BCDC6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058" w:type="dxa"/>
            <w:gridSpan w:val="2"/>
            <w:vAlign w:val="center"/>
          </w:tcPr>
          <w:p w14:paraId="48AAE575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23727AE4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2F2BAD6E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0AFA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EDA74F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100694F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dobeFangsongStd-Regular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Can digital finance curb corporate ESG decoupling? Evidence from Shanghai and Shenzhen A-shares listed companies</w:t>
            </w:r>
          </w:p>
        </w:tc>
        <w:tc>
          <w:tcPr>
            <w:tcW w:w="1276" w:type="dxa"/>
            <w:vAlign w:val="center"/>
          </w:tcPr>
          <w:p w14:paraId="660365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2024,(11)</w:t>
            </w:r>
          </w:p>
        </w:tc>
        <w:tc>
          <w:tcPr>
            <w:tcW w:w="1919" w:type="dxa"/>
            <w:gridSpan w:val="4"/>
            <w:vAlign w:val="center"/>
          </w:tcPr>
          <w:p w14:paraId="177AD244">
            <w:pPr>
              <w:jc w:val="center"/>
              <w:rPr>
                <w:rFonts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Humanities &amp; Social Sciences Communications</w:t>
            </w:r>
          </w:p>
          <w:p w14:paraId="3A596D50">
            <w:pPr>
              <w:jc w:val="center"/>
              <w:rPr>
                <w:rFonts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JCR分区 </w:t>
            </w:r>
          </w:p>
          <w:p w14:paraId="435BC651">
            <w:pPr>
              <w:jc w:val="center"/>
              <w:rPr>
                <w:rFonts w:eastAsia="TimesNewRomanPS-BoldMT"/>
                <w:i/>
                <w:iCs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SSCI一区</w:t>
            </w:r>
            <w:r>
              <w:rPr>
                <w:rFonts w:hint="eastAsia" w:eastAsia="TimesNewRomanPS-BoldMT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58" w:type="dxa"/>
            <w:gridSpan w:val="2"/>
            <w:vAlign w:val="center"/>
          </w:tcPr>
          <w:p w14:paraId="522F351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406631E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1/3</w:t>
            </w:r>
          </w:p>
        </w:tc>
      </w:tr>
      <w:tr w14:paraId="6C96A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CCA781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75AB0F9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数字化何以赋能财政政策提质增效——以地方财政支出效率为主线的分析</w:t>
            </w:r>
          </w:p>
        </w:tc>
        <w:tc>
          <w:tcPr>
            <w:tcW w:w="1276" w:type="dxa"/>
            <w:vAlign w:val="center"/>
          </w:tcPr>
          <w:p w14:paraId="1360FFD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2024,(3)</w:t>
            </w:r>
          </w:p>
        </w:tc>
        <w:tc>
          <w:tcPr>
            <w:tcW w:w="1919" w:type="dxa"/>
            <w:gridSpan w:val="4"/>
            <w:vAlign w:val="center"/>
          </w:tcPr>
          <w:p w14:paraId="36E29C2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江海学刊</w:t>
            </w:r>
          </w:p>
          <w:p w14:paraId="7F29453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（CSSCI来源）</w:t>
            </w:r>
          </w:p>
        </w:tc>
        <w:tc>
          <w:tcPr>
            <w:tcW w:w="1058" w:type="dxa"/>
            <w:gridSpan w:val="2"/>
            <w:vAlign w:val="center"/>
          </w:tcPr>
          <w:p w14:paraId="3D026A8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252FF96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7E9B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56FB5A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51C1CDE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地方政府融资平台去杠杆与转型发展——基于江苏省的调研</w:t>
            </w:r>
          </w:p>
        </w:tc>
        <w:tc>
          <w:tcPr>
            <w:tcW w:w="1276" w:type="dxa"/>
            <w:vAlign w:val="center"/>
          </w:tcPr>
          <w:p w14:paraId="71489D0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2022,(3)</w:t>
            </w:r>
          </w:p>
        </w:tc>
        <w:tc>
          <w:tcPr>
            <w:tcW w:w="1919" w:type="dxa"/>
            <w:gridSpan w:val="4"/>
            <w:vAlign w:val="center"/>
          </w:tcPr>
          <w:p w14:paraId="6D9B9C6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学海</w:t>
            </w:r>
          </w:p>
          <w:p w14:paraId="7A6B14B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（CSSCI来源）</w:t>
            </w:r>
          </w:p>
        </w:tc>
        <w:tc>
          <w:tcPr>
            <w:tcW w:w="1058" w:type="dxa"/>
            <w:gridSpan w:val="2"/>
            <w:vAlign w:val="center"/>
          </w:tcPr>
          <w:p w14:paraId="37239CF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028F44A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443FC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596E88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vAlign w:val="center"/>
          </w:tcPr>
          <w:p w14:paraId="66E21D0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政府审计、绿色金融发展与地区环境治理</w:t>
            </w:r>
          </w:p>
        </w:tc>
        <w:tc>
          <w:tcPr>
            <w:tcW w:w="1276" w:type="dxa"/>
            <w:vAlign w:val="center"/>
          </w:tcPr>
          <w:p w14:paraId="1619A42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2025,(2)</w:t>
            </w:r>
          </w:p>
        </w:tc>
        <w:tc>
          <w:tcPr>
            <w:tcW w:w="1919" w:type="dxa"/>
            <w:gridSpan w:val="4"/>
            <w:vAlign w:val="center"/>
          </w:tcPr>
          <w:p w14:paraId="06ABD05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工业技术经济</w:t>
            </w:r>
          </w:p>
          <w:p w14:paraId="072E173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（北大核心）</w:t>
            </w:r>
          </w:p>
        </w:tc>
        <w:tc>
          <w:tcPr>
            <w:tcW w:w="1058" w:type="dxa"/>
            <w:gridSpan w:val="2"/>
            <w:vAlign w:val="center"/>
          </w:tcPr>
          <w:p w14:paraId="4669E64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7E1A420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1/3</w:t>
            </w:r>
          </w:p>
        </w:tc>
      </w:tr>
      <w:tr w14:paraId="6329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99144F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08" w:type="dxa"/>
            <w:vAlign w:val="center"/>
          </w:tcPr>
          <w:p w14:paraId="3B0FAE5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减税降费规模与地方政府债务风险治理：机制与证据</w:t>
            </w:r>
          </w:p>
        </w:tc>
        <w:tc>
          <w:tcPr>
            <w:tcW w:w="1276" w:type="dxa"/>
            <w:vAlign w:val="center"/>
          </w:tcPr>
          <w:p w14:paraId="563BD22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2024,(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919" w:type="dxa"/>
            <w:gridSpan w:val="4"/>
            <w:vAlign w:val="center"/>
          </w:tcPr>
          <w:p w14:paraId="405E0F5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工业技术经济</w:t>
            </w:r>
          </w:p>
          <w:p w14:paraId="2102D41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（北大核心）</w:t>
            </w:r>
          </w:p>
        </w:tc>
        <w:tc>
          <w:tcPr>
            <w:tcW w:w="1058" w:type="dxa"/>
            <w:gridSpan w:val="2"/>
            <w:vAlign w:val="center"/>
          </w:tcPr>
          <w:p w14:paraId="654B83F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193B961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1/3</w:t>
            </w:r>
          </w:p>
        </w:tc>
      </w:tr>
      <w:tr w14:paraId="63EA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BECF1D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08" w:type="dxa"/>
            <w:vAlign w:val="center"/>
          </w:tcPr>
          <w:p w14:paraId="4DE4490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数字金融发展对区域金融风险的抑制效应——基于省级面板数据的实证检验</w:t>
            </w:r>
          </w:p>
        </w:tc>
        <w:tc>
          <w:tcPr>
            <w:tcW w:w="1276" w:type="dxa"/>
            <w:vAlign w:val="center"/>
          </w:tcPr>
          <w:p w14:paraId="47A58C0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2023,(1)</w:t>
            </w:r>
          </w:p>
        </w:tc>
        <w:tc>
          <w:tcPr>
            <w:tcW w:w="1919" w:type="dxa"/>
            <w:gridSpan w:val="4"/>
            <w:vAlign w:val="center"/>
          </w:tcPr>
          <w:p w14:paraId="038E078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金融理论与实践</w:t>
            </w:r>
          </w:p>
          <w:p w14:paraId="7509C7E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（北大核心）</w:t>
            </w:r>
          </w:p>
        </w:tc>
        <w:tc>
          <w:tcPr>
            <w:tcW w:w="1058" w:type="dxa"/>
            <w:gridSpan w:val="2"/>
            <w:vAlign w:val="center"/>
          </w:tcPr>
          <w:p w14:paraId="4F677FB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41F3BB0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5D20D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13DDA1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08" w:type="dxa"/>
            <w:vAlign w:val="center"/>
          </w:tcPr>
          <w:p w14:paraId="54289BB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地方政府隐性债务审计流程研究——以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伪PPP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项目为例</w:t>
            </w:r>
          </w:p>
        </w:tc>
        <w:tc>
          <w:tcPr>
            <w:tcW w:w="1276" w:type="dxa"/>
            <w:vAlign w:val="center"/>
          </w:tcPr>
          <w:p w14:paraId="5BA52FB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2022,(3)</w:t>
            </w:r>
          </w:p>
        </w:tc>
        <w:tc>
          <w:tcPr>
            <w:tcW w:w="1919" w:type="dxa"/>
            <w:gridSpan w:val="4"/>
            <w:vAlign w:val="center"/>
          </w:tcPr>
          <w:p w14:paraId="3DD6B5C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财会通讯</w:t>
            </w:r>
          </w:p>
          <w:p w14:paraId="39836C4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（北大核心）</w:t>
            </w:r>
          </w:p>
        </w:tc>
        <w:tc>
          <w:tcPr>
            <w:tcW w:w="1058" w:type="dxa"/>
            <w:gridSpan w:val="2"/>
            <w:vAlign w:val="center"/>
          </w:tcPr>
          <w:p w14:paraId="62E4474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29BC134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4E32E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325CAB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08" w:type="dxa"/>
            <w:vAlign w:val="center"/>
          </w:tcPr>
          <w:p w14:paraId="7BAA00E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乡村振兴专项债券发行中政府决策行为分析</w:t>
            </w:r>
          </w:p>
        </w:tc>
        <w:tc>
          <w:tcPr>
            <w:tcW w:w="1276" w:type="dxa"/>
            <w:vAlign w:val="center"/>
          </w:tcPr>
          <w:p w14:paraId="5C3C96C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2021,(5)</w:t>
            </w:r>
          </w:p>
        </w:tc>
        <w:tc>
          <w:tcPr>
            <w:tcW w:w="1919" w:type="dxa"/>
            <w:gridSpan w:val="4"/>
            <w:vAlign w:val="center"/>
          </w:tcPr>
          <w:p w14:paraId="2BF0F58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南京审计大学学报</w:t>
            </w:r>
          </w:p>
          <w:p w14:paraId="129C8A3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（CSSCI扩展）</w:t>
            </w:r>
          </w:p>
        </w:tc>
        <w:tc>
          <w:tcPr>
            <w:tcW w:w="1058" w:type="dxa"/>
            <w:gridSpan w:val="2"/>
            <w:vAlign w:val="center"/>
          </w:tcPr>
          <w:p w14:paraId="498C71B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6F41D45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592F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BC5F4B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008" w:type="dxa"/>
            <w:vAlign w:val="center"/>
          </w:tcPr>
          <w:p w14:paraId="6EB15FB8">
            <w:r>
              <w:fldChar w:fldCharType="begin"/>
            </w:r>
            <w:r>
              <w:instrText xml:space="preserve"> HYPERLINK "https://sjk.nau.edu.cn/https/77726476706e69737468656265737421fbf952d2243e635930068cb8/kcms2/article/abstract?v=PxtextXNwWV0CdrNxbNqre1ErKxJfkOIqvxh2djv2TkGVH7jVoht4lPJZ2eiO70w9zLAMcrbldktYG-eJzOtqKYs8z3foRoMGBmcmzqR1uEz7wZVlaxQ-KMxS4q-0ebWdKbRTW6crUPq5bbkJFnOuQKAa4hu87OYWSw3zEwujYY2SmnawljCSg==&amp;uniplatform=NZKPT&amp;language=CHS" \t "https://sjk.nau.edu.cn/https/77726476706e69737468656265737421fbf952d2243e635930068cb8/kns8s/_blank" </w:instrText>
            </w:r>
            <w:r>
              <w:fldChar w:fldCharType="separate"/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区块链信息服务监管的博弈仿真分析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57146C7">
            <w:pPr>
              <w:jc w:val="center"/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2020,(1)</w:t>
            </w:r>
          </w:p>
        </w:tc>
        <w:tc>
          <w:tcPr>
            <w:tcW w:w="1919" w:type="dxa"/>
            <w:gridSpan w:val="4"/>
            <w:vAlign w:val="center"/>
          </w:tcPr>
          <w:p w14:paraId="3CDC2DAC">
            <w:pPr>
              <w:jc w:val="center"/>
            </w:pPr>
            <w:r>
              <w:rPr>
                <w:rFonts w:hint="eastAsia"/>
              </w:rPr>
              <w:t>科技管理研究</w:t>
            </w:r>
          </w:p>
          <w:p w14:paraId="7DDC90AB">
            <w:pPr>
              <w:jc w:val="center"/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（CSSCI扩展）</w:t>
            </w:r>
          </w:p>
        </w:tc>
        <w:tc>
          <w:tcPr>
            <w:tcW w:w="1058" w:type="dxa"/>
            <w:gridSpan w:val="2"/>
            <w:vAlign w:val="center"/>
          </w:tcPr>
          <w:p w14:paraId="0E808FE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6A1C8454">
            <w:pPr>
              <w:jc w:val="center"/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</w:tr>
      <w:tr w14:paraId="14F9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907E438"/>
        </w:tc>
        <w:tc>
          <w:tcPr>
            <w:tcW w:w="3008" w:type="dxa"/>
            <w:vAlign w:val="center"/>
          </w:tcPr>
          <w:p w14:paraId="79A3EBD1"/>
        </w:tc>
        <w:tc>
          <w:tcPr>
            <w:tcW w:w="1276" w:type="dxa"/>
            <w:vAlign w:val="center"/>
          </w:tcPr>
          <w:p w14:paraId="66D5D9D0"/>
        </w:tc>
        <w:tc>
          <w:tcPr>
            <w:tcW w:w="1919" w:type="dxa"/>
            <w:gridSpan w:val="4"/>
            <w:vAlign w:val="center"/>
          </w:tcPr>
          <w:p w14:paraId="26FAD23D"/>
        </w:tc>
        <w:tc>
          <w:tcPr>
            <w:tcW w:w="1058" w:type="dxa"/>
            <w:gridSpan w:val="2"/>
            <w:vAlign w:val="center"/>
          </w:tcPr>
          <w:p w14:paraId="173CEEC7"/>
        </w:tc>
        <w:tc>
          <w:tcPr>
            <w:tcW w:w="1383" w:type="dxa"/>
            <w:gridSpan w:val="2"/>
            <w:vAlign w:val="center"/>
          </w:tcPr>
          <w:p w14:paraId="32B6F71E"/>
        </w:tc>
      </w:tr>
      <w:tr w14:paraId="5CF4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5C9584E">
            <w:r>
              <w:rPr>
                <w:rFonts w:hint="eastAsia"/>
              </w:rPr>
              <w:t>注：发表论文清单仅填写学校认定的刊物。</w:t>
            </w:r>
          </w:p>
        </w:tc>
      </w:tr>
      <w:tr w14:paraId="42187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04BFEE00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569E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79F7ED4B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4942C6DB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7443401A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11F79DE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39EAE095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3582CCE1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61A96701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34B0124F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64DCB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43B617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65233B41">
            <w:r>
              <w:rPr>
                <w:rFonts w:hint="eastAsia"/>
              </w:rPr>
              <w:t>地方政府隐性债务审计与风险治理机制研究（20BGL062）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16BCF820">
            <w:r>
              <w:rPr>
                <w:rFonts w:hint="eastAsia"/>
              </w:rPr>
              <w:t>国家社会科学基金一般项目</w:t>
            </w:r>
          </w:p>
        </w:tc>
        <w:tc>
          <w:tcPr>
            <w:tcW w:w="1069" w:type="dxa"/>
            <w:gridSpan w:val="2"/>
            <w:vAlign w:val="center"/>
          </w:tcPr>
          <w:p w14:paraId="3C8B1E30">
            <w:pPr>
              <w:jc w:val="center"/>
            </w:pPr>
            <w:r>
              <w:rPr>
                <w:rFonts w:hint="eastAsia"/>
              </w:rPr>
              <w:t>2020年-2022年</w:t>
            </w:r>
          </w:p>
        </w:tc>
        <w:tc>
          <w:tcPr>
            <w:tcW w:w="1203" w:type="dxa"/>
            <w:gridSpan w:val="2"/>
            <w:vAlign w:val="center"/>
          </w:tcPr>
          <w:p w14:paraId="630118F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gridSpan w:val="2"/>
            <w:vAlign w:val="center"/>
          </w:tcPr>
          <w:p w14:paraId="63F2B382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  <w:vAlign w:val="center"/>
          </w:tcPr>
          <w:p w14:paraId="5DA3B0FC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  <w:tr w14:paraId="3CC5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14C75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524C2A8A">
            <w:r>
              <w:rPr>
                <w:rFonts w:hint="eastAsia"/>
              </w:rPr>
              <w:t>地方政府隐性债务“灰犀牛”风险的协同审计治理研究（</w:t>
            </w:r>
            <w:r>
              <w:t>18BGL054</w:t>
            </w:r>
            <w:r>
              <w:rPr>
                <w:rFonts w:hint="eastAsia"/>
              </w:rPr>
              <w:t>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79360D5F">
            <w:r>
              <w:rPr>
                <w:rFonts w:hint="eastAsia"/>
              </w:rPr>
              <w:t>国家社会科学基金一般项目</w:t>
            </w:r>
          </w:p>
        </w:tc>
        <w:tc>
          <w:tcPr>
            <w:tcW w:w="1069" w:type="dxa"/>
            <w:gridSpan w:val="2"/>
            <w:vAlign w:val="center"/>
          </w:tcPr>
          <w:p w14:paraId="0B325942">
            <w:pPr>
              <w:jc w:val="center"/>
            </w:pPr>
            <w:r>
              <w:rPr>
                <w:rFonts w:hint="eastAsia"/>
              </w:rPr>
              <w:t>2018年-2020年</w:t>
            </w:r>
          </w:p>
        </w:tc>
        <w:tc>
          <w:tcPr>
            <w:tcW w:w="1203" w:type="dxa"/>
            <w:gridSpan w:val="2"/>
            <w:vAlign w:val="center"/>
          </w:tcPr>
          <w:p w14:paraId="0C2D5B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gridSpan w:val="2"/>
            <w:vAlign w:val="center"/>
          </w:tcPr>
          <w:p w14:paraId="0EB096E4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  <w:vAlign w:val="center"/>
          </w:tcPr>
          <w:p w14:paraId="098F48A8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  <w:tr w14:paraId="192B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5FB3A7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42D00845">
            <w:r>
              <w:t>科技金融体系建设与效果评价（16FGL013）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133533D6">
            <w:r>
              <w:rPr>
                <w:rFonts w:hint="eastAsia"/>
              </w:rPr>
              <w:t>国家社会科学基金后期资助一般项目</w:t>
            </w:r>
          </w:p>
        </w:tc>
        <w:tc>
          <w:tcPr>
            <w:tcW w:w="1069" w:type="dxa"/>
            <w:gridSpan w:val="2"/>
            <w:vAlign w:val="center"/>
          </w:tcPr>
          <w:p w14:paraId="70592A79">
            <w:pPr>
              <w:jc w:val="center"/>
            </w:pPr>
            <w:r>
              <w:rPr>
                <w:rFonts w:hint="eastAsia"/>
              </w:rPr>
              <w:t>2016年-2018年</w:t>
            </w:r>
          </w:p>
        </w:tc>
        <w:tc>
          <w:tcPr>
            <w:tcW w:w="1203" w:type="dxa"/>
            <w:gridSpan w:val="2"/>
            <w:vAlign w:val="center"/>
          </w:tcPr>
          <w:p w14:paraId="3939C75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gridSpan w:val="2"/>
            <w:vAlign w:val="center"/>
          </w:tcPr>
          <w:p w14:paraId="78D16222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  <w:vAlign w:val="center"/>
          </w:tcPr>
          <w:p w14:paraId="2D47CD17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  <w:tr w14:paraId="1D699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50D2B5A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vAlign w:val="center"/>
          </w:tcPr>
          <w:p w14:paraId="22952655">
            <w:r>
              <w:rPr>
                <w:rFonts w:hint="eastAsia"/>
              </w:rPr>
              <w:t>审计治理视域下数字金融风险防控体系研究（22GLA005）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5FAF38FF">
            <w:r>
              <w:rPr>
                <w:rFonts w:hint="eastAsia"/>
              </w:rPr>
              <w:t>江苏省社会科学基金重点项目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14:paraId="2BA8A78E">
            <w:pPr>
              <w:jc w:val="center"/>
            </w:pPr>
            <w:r>
              <w:rPr>
                <w:rFonts w:hint="eastAsia"/>
              </w:rPr>
              <w:t>2022年-至今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6307C4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1D32E0E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2D6771">
            <w:pPr>
              <w:jc w:val="center"/>
            </w:pPr>
            <w:r>
              <w:rPr>
                <w:rFonts w:hint="eastAsia"/>
              </w:rPr>
              <w:t>A2</w:t>
            </w:r>
          </w:p>
        </w:tc>
      </w:tr>
      <w:tr w14:paraId="6EE0C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6E95760"/>
        </w:tc>
        <w:tc>
          <w:tcPr>
            <w:tcW w:w="3008" w:type="dxa"/>
            <w:vAlign w:val="center"/>
          </w:tcPr>
          <w:p w14:paraId="797C0C8E"/>
        </w:tc>
        <w:tc>
          <w:tcPr>
            <w:tcW w:w="1555" w:type="dxa"/>
            <w:gridSpan w:val="2"/>
          </w:tcPr>
          <w:p w14:paraId="34DAD370"/>
        </w:tc>
        <w:tc>
          <w:tcPr>
            <w:tcW w:w="1069" w:type="dxa"/>
            <w:gridSpan w:val="2"/>
          </w:tcPr>
          <w:p w14:paraId="067452CA"/>
        </w:tc>
        <w:tc>
          <w:tcPr>
            <w:tcW w:w="1203" w:type="dxa"/>
            <w:gridSpan w:val="2"/>
          </w:tcPr>
          <w:p w14:paraId="6B07BCB8"/>
        </w:tc>
        <w:tc>
          <w:tcPr>
            <w:tcW w:w="993" w:type="dxa"/>
            <w:gridSpan w:val="2"/>
          </w:tcPr>
          <w:p w14:paraId="27E125BF"/>
        </w:tc>
        <w:tc>
          <w:tcPr>
            <w:tcW w:w="816" w:type="dxa"/>
          </w:tcPr>
          <w:p w14:paraId="1F4F748E"/>
        </w:tc>
      </w:tr>
      <w:tr w14:paraId="4B44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1DA7386"/>
        </w:tc>
        <w:tc>
          <w:tcPr>
            <w:tcW w:w="3008" w:type="dxa"/>
            <w:vAlign w:val="center"/>
          </w:tcPr>
          <w:p w14:paraId="7CD096C2"/>
        </w:tc>
        <w:tc>
          <w:tcPr>
            <w:tcW w:w="1555" w:type="dxa"/>
            <w:gridSpan w:val="2"/>
          </w:tcPr>
          <w:p w14:paraId="1D841241"/>
        </w:tc>
        <w:tc>
          <w:tcPr>
            <w:tcW w:w="1069" w:type="dxa"/>
            <w:gridSpan w:val="2"/>
          </w:tcPr>
          <w:p w14:paraId="4BAA323E"/>
        </w:tc>
        <w:tc>
          <w:tcPr>
            <w:tcW w:w="1203" w:type="dxa"/>
            <w:gridSpan w:val="2"/>
          </w:tcPr>
          <w:p w14:paraId="298E0FE8"/>
        </w:tc>
        <w:tc>
          <w:tcPr>
            <w:tcW w:w="993" w:type="dxa"/>
            <w:gridSpan w:val="2"/>
          </w:tcPr>
          <w:p w14:paraId="3D52DEED"/>
        </w:tc>
        <w:tc>
          <w:tcPr>
            <w:tcW w:w="816" w:type="dxa"/>
          </w:tcPr>
          <w:p w14:paraId="6E6744F5"/>
        </w:tc>
      </w:tr>
      <w:tr w14:paraId="25325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3A83D6CC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736CAF2E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537B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32C61D6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675B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8A55549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63B67530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38A895B4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4F9BA116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51D1A8A5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785" w:type="dxa"/>
            <w:gridSpan w:val="2"/>
            <w:vAlign w:val="center"/>
          </w:tcPr>
          <w:p w14:paraId="28AAFF39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058" w:type="dxa"/>
            <w:gridSpan w:val="2"/>
            <w:vAlign w:val="center"/>
          </w:tcPr>
          <w:p w14:paraId="5E51EBFC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3300199F">
            <w:pPr>
              <w:jc w:val="center"/>
            </w:pPr>
            <w:r>
              <w:rPr>
                <w:rFonts w:hint="eastAsia"/>
              </w:rPr>
              <w:t>替换论文</w:t>
            </w:r>
          </w:p>
          <w:p w14:paraId="359A819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</w:tr>
      <w:tr w14:paraId="4AA6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08BF56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0C2926B9">
            <w:r>
              <w:rPr>
                <w:rFonts w:hint="eastAsia"/>
              </w:rPr>
              <w:t>地方政府隐性债务风险与审计治理</w:t>
            </w:r>
          </w:p>
        </w:tc>
        <w:tc>
          <w:tcPr>
            <w:tcW w:w="1555" w:type="dxa"/>
            <w:gridSpan w:val="2"/>
            <w:vAlign w:val="center"/>
          </w:tcPr>
          <w:p w14:paraId="2F278B98">
            <w:r>
              <w:rPr>
                <w:rFonts w:hint="eastAsia"/>
              </w:rPr>
              <w:t>第十七届江苏省哲学社会科学优秀成果</w:t>
            </w:r>
          </w:p>
        </w:tc>
        <w:tc>
          <w:tcPr>
            <w:tcW w:w="855" w:type="dxa"/>
            <w:vAlign w:val="center"/>
          </w:tcPr>
          <w:p w14:paraId="70377B84">
            <w:pPr>
              <w:jc w:val="center"/>
            </w:pPr>
            <w:r>
              <w:rPr>
                <w:rFonts w:hint="eastAsia"/>
              </w:rPr>
              <w:t>三等奖</w:t>
            </w:r>
          </w:p>
        </w:tc>
        <w:tc>
          <w:tcPr>
            <w:tcW w:w="785" w:type="dxa"/>
            <w:gridSpan w:val="2"/>
            <w:vAlign w:val="center"/>
          </w:tcPr>
          <w:p w14:paraId="4A895889">
            <w:pPr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1058" w:type="dxa"/>
            <w:gridSpan w:val="2"/>
            <w:vAlign w:val="center"/>
          </w:tcPr>
          <w:p w14:paraId="0BEAC899">
            <w:pPr>
              <w:jc w:val="center"/>
            </w:pPr>
            <w:r>
              <w:rPr>
                <w:rFonts w:hint="eastAsia"/>
              </w:rPr>
              <w:t>1/1</w:t>
            </w:r>
          </w:p>
        </w:tc>
        <w:tc>
          <w:tcPr>
            <w:tcW w:w="1383" w:type="dxa"/>
            <w:gridSpan w:val="2"/>
            <w:vAlign w:val="center"/>
          </w:tcPr>
          <w:p w14:paraId="07529DA8"/>
        </w:tc>
      </w:tr>
      <w:tr w14:paraId="6F4F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2B0438B">
            <w:pPr>
              <w:jc w:val="center"/>
            </w:pPr>
          </w:p>
        </w:tc>
        <w:tc>
          <w:tcPr>
            <w:tcW w:w="3008" w:type="dxa"/>
            <w:vAlign w:val="center"/>
          </w:tcPr>
          <w:p w14:paraId="01505DC7"/>
        </w:tc>
        <w:tc>
          <w:tcPr>
            <w:tcW w:w="1555" w:type="dxa"/>
            <w:gridSpan w:val="2"/>
            <w:vAlign w:val="center"/>
          </w:tcPr>
          <w:p w14:paraId="68EE98EB"/>
        </w:tc>
        <w:tc>
          <w:tcPr>
            <w:tcW w:w="855" w:type="dxa"/>
            <w:vAlign w:val="center"/>
          </w:tcPr>
          <w:p w14:paraId="22E31B2D"/>
        </w:tc>
        <w:tc>
          <w:tcPr>
            <w:tcW w:w="785" w:type="dxa"/>
            <w:gridSpan w:val="2"/>
            <w:vAlign w:val="center"/>
          </w:tcPr>
          <w:p w14:paraId="75F72E69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14:paraId="13D33104">
            <w:pPr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08ADFA89"/>
        </w:tc>
      </w:tr>
      <w:tr w14:paraId="7F6C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74251B4">
            <w:pPr>
              <w:jc w:val="center"/>
            </w:pPr>
          </w:p>
        </w:tc>
        <w:tc>
          <w:tcPr>
            <w:tcW w:w="3008" w:type="dxa"/>
            <w:vAlign w:val="center"/>
          </w:tcPr>
          <w:p w14:paraId="2D56103F"/>
        </w:tc>
        <w:tc>
          <w:tcPr>
            <w:tcW w:w="1555" w:type="dxa"/>
            <w:gridSpan w:val="2"/>
            <w:vAlign w:val="center"/>
          </w:tcPr>
          <w:p w14:paraId="0C164D17"/>
        </w:tc>
        <w:tc>
          <w:tcPr>
            <w:tcW w:w="855" w:type="dxa"/>
            <w:vAlign w:val="center"/>
          </w:tcPr>
          <w:p w14:paraId="6A55A51F"/>
        </w:tc>
        <w:tc>
          <w:tcPr>
            <w:tcW w:w="785" w:type="dxa"/>
            <w:gridSpan w:val="2"/>
            <w:vAlign w:val="center"/>
          </w:tcPr>
          <w:p w14:paraId="0E0D0732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14:paraId="40E890A1">
            <w:pPr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1160835D"/>
        </w:tc>
      </w:tr>
      <w:tr w14:paraId="438C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C3EC038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6106205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5B6A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3B4F24F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6DBA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472EACC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C6F0C36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33D46ECD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1A58A7D8">
            <w:pPr>
              <w:jc w:val="center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11016101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1F3D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511BA5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31FFA88F">
            <w:r>
              <w:rPr>
                <w:rFonts w:hint="eastAsia"/>
              </w:rPr>
              <w:t>地方政府隐性债务风险与审计治理</w:t>
            </w:r>
          </w:p>
        </w:tc>
        <w:tc>
          <w:tcPr>
            <w:tcW w:w="1555" w:type="dxa"/>
            <w:gridSpan w:val="2"/>
            <w:vAlign w:val="center"/>
          </w:tcPr>
          <w:p w14:paraId="0DD1BEFF">
            <w:pPr>
              <w:jc w:val="center"/>
            </w:pPr>
            <w:r>
              <w:rPr>
                <w:rFonts w:hint="eastAsia"/>
              </w:rPr>
              <w:t>学术专著</w:t>
            </w:r>
          </w:p>
        </w:tc>
        <w:tc>
          <w:tcPr>
            <w:tcW w:w="2272" w:type="dxa"/>
            <w:gridSpan w:val="4"/>
            <w:vAlign w:val="center"/>
          </w:tcPr>
          <w:p w14:paraId="10498A7F">
            <w:pPr>
              <w:jc w:val="center"/>
            </w:pPr>
            <w:r>
              <w:rPr>
                <w:rFonts w:hint="eastAsia"/>
              </w:rPr>
              <w:t>2021年、</w:t>
            </w:r>
          </w:p>
          <w:p w14:paraId="5FF737B8">
            <w:pPr>
              <w:jc w:val="center"/>
            </w:pPr>
            <w:r>
              <w:rPr>
                <w:rFonts w:hint="eastAsia"/>
              </w:rPr>
              <w:t>独著（22.5万字）</w:t>
            </w:r>
          </w:p>
        </w:tc>
        <w:tc>
          <w:tcPr>
            <w:tcW w:w="1809" w:type="dxa"/>
            <w:gridSpan w:val="3"/>
            <w:vAlign w:val="center"/>
          </w:tcPr>
          <w:p w14:paraId="07BECC17">
            <w:pPr>
              <w:jc w:val="center"/>
            </w:pPr>
            <w:r>
              <w:rPr>
                <w:rFonts w:hint="eastAsia"/>
              </w:rPr>
              <w:t>A2</w:t>
            </w:r>
          </w:p>
        </w:tc>
      </w:tr>
      <w:tr w14:paraId="2C91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F51CEC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65FE59FE">
            <w:r>
              <w:rPr>
                <w:rFonts w:hint="eastAsia"/>
              </w:rPr>
              <w:t>基于大数据分析的项目投资审计实验系统</w:t>
            </w:r>
            <w:r>
              <w:t>V1.0</w:t>
            </w:r>
          </w:p>
        </w:tc>
        <w:tc>
          <w:tcPr>
            <w:tcW w:w="1555" w:type="dxa"/>
            <w:gridSpan w:val="2"/>
            <w:vAlign w:val="center"/>
          </w:tcPr>
          <w:p w14:paraId="2699DB5C">
            <w:r>
              <w:rPr>
                <w:rFonts w:hint="eastAsia"/>
              </w:rPr>
              <w:t>计算机软件著作权</w:t>
            </w:r>
          </w:p>
        </w:tc>
        <w:tc>
          <w:tcPr>
            <w:tcW w:w="2272" w:type="dxa"/>
            <w:gridSpan w:val="4"/>
            <w:vAlign w:val="center"/>
          </w:tcPr>
          <w:p w14:paraId="16B6BCF4">
            <w:pPr>
              <w:jc w:val="center"/>
            </w:pPr>
            <w:r>
              <w:rPr>
                <w:rFonts w:hint="eastAsia"/>
              </w:rPr>
              <w:t>2022年、国家级</w:t>
            </w:r>
          </w:p>
        </w:tc>
        <w:tc>
          <w:tcPr>
            <w:tcW w:w="1809" w:type="dxa"/>
            <w:gridSpan w:val="3"/>
            <w:vAlign w:val="center"/>
          </w:tcPr>
          <w:p w14:paraId="566A4265"/>
        </w:tc>
      </w:tr>
      <w:tr w14:paraId="0EF0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5D03384"/>
        </w:tc>
        <w:tc>
          <w:tcPr>
            <w:tcW w:w="3008" w:type="dxa"/>
            <w:vAlign w:val="center"/>
          </w:tcPr>
          <w:p w14:paraId="5D509E27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4F6AC3B8"/>
        </w:tc>
        <w:tc>
          <w:tcPr>
            <w:tcW w:w="2272" w:type="dxa"/>
            <w:gridSpan w:val="4"/>
            <w:vAlign w:val="center"/>
          </w:tcPr>
          <w:p w14:paraId="0BD36234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2F3455BC"/>
        </w:tc>
      </w:tr>
      <w:tr w14:paraId="4B7F5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DD47B14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33615960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3945E8E1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111"/>
        <w:gridCol w:w="409"/>
        <w:gridCol w:w="1260"/>
        <w:gridCol w:w="1080"/>
        <w:gridCol w:w="540"/>
        <w:gridCol w:w="2340"/>
      </w:tblGrid>
      <w:tr w14:paraId="04D19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467AB09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46B5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48C480E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15FEDA74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478235F9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31E13858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7CAA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5AACF21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</w:t>
            </w:r>
          </w:p>
        </w:tc>
        <w:tc>
          <w:tcPr>
            <w:tcW w:w="2520" w:type="dxa"/>
            <w:gridSpan w:val="2"/>
            <w:vAlign w:val="center"/>
          </w:tcPr>
          <w:p w14:paraId="67AF122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340" w:type="dxa"/>
            <w:gridSpan w:val="2"/>
            <w:vAlign w:val="center"/>
          </w:tcPr>
          <w:p w14:paraId="5601D73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2979737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654CE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67397B00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62207A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40" w:type="dxa"/>
            <w:gridSpan w:val="2"/>
            <w:vAlign w:val="center"/>
          </w:tcPr>
          <w:p w14:paraId="18D4C9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5D90328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14:paraId="79D7A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49BBBDA0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2B8AA8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49B7D7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77CE372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14:paraId="2181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19C543E4">
            <w:pPr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520" w:type="dxa"/>
            <w:gridSpan w:val="2"/>
            <w:vAlign w:val="center"/>
          </w:tcPr>
          <w:p w14:paraId="2E2E2E3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34D9DB4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80" w:type="dxa"/>
            <w:gridSpan w:val="2"/>
            <w:vAlign w:val="center"/>
          </w:tcPr>
          <w:p w14:paraId="24C74360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14:paraId="17DD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3885CDEE">
            <w:pPr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520" w:type="dxa"/>
            <w:gridSpan w:val="2"/>
            <w:vAlign w:val="center"/>
          </w:tcPr>
          <w:p w14:paraId="18892D8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720D758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7222331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14:paraId="12C6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1BE82FA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1398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6DAEE5E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111" w:type="dxa"/>
            <w:vAlign w:val="center"/>
          </w:tcPr>
          <w:p w14:paraId="61F20026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669" w:type="dxa"/>
            <w:gridSpan w:val="2"/>
            <w:vAlign w:val="center"/>
          </w:tcPr>
          <w:p w14:paraId="772D12AE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69767510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588C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4F500E72">
            <w:pPr>
              <w:jc w:val="center"/>
            </w:pPr>
            <w:r>
              <w:rPr>
                <w:rFonts w:hint="eastAsia"/>
              </w:rPr>
              <w:t>2014</w:t>
            </w:r>
          </w:p>
        </w:tc>
        <w:tc>
          <w:tcPr>
            <w:tcW w:w="2111" w:type="dxa"/>
            <w:vAlign w:val="center"/>
          </w:tcPr>
          <w:p w14:paraId="453AFAEA">
            <w:pPr>
              <w:jc w:val="center"/>
            </w:pPr>
            <w:r>
              <w:rPr>
                <w:rFonts w:hint="eastAsia"/>
              </w:rPr>
              <w:t>中国、南京大学</w:t>
            </w:r>
          </w:p>
        </w:tc>
        <w:tc>
          <w:tcPr>
            <w:tcW w:w="1669" w:type="dxa"/>
            <w:gridSpan w:val="2"/>
            <w:vAlign w:val="center"/>
          </w:tcPr>
          <w:p w14:paraId="2CC64E2C">
            <w:pPr>
              <w:jc w:val="center"/>
            </w:pPr>
            <w:r>
              <w:rPr>
                <w:rFonts w:hint="eastAsia"/>
              </w:rPr>
              <w:t>束兰根</w:t>
            </w:r>
          </w:p>
        </w:tc>
        <w:tc>
          <w:tcPr>
            <w:tcW w:w="3960" w:type="dxa"/>
            <w:gridSpan w:val="3"/>
            <w:vAlign w:val="center"/>
          </w:tcPr>
          <w:p w14:paraId="6EDBB1B3">
            <w:pPr>
              <w:jc w:val="center"/>
            </w:pPr>
            <w:r>
              <w:rPr>
                <w:rFonts w:hint="eastAsia"/>
              </w:rPr>
              <w:t>指导博士毕业论文</w:t>
            </w:r>
          </w:p>
        </w:tc>
      </w:tr>
      <w:tr w14:paraId="3344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vAlign w:val="center"/>
          </w:tcPr>
          <w:p w14:paraId="4EBA0560">
            <w:pPr>
              <w:jc w:val="center"/>
            </w:pPr>
          </w:p>
        </w:tc>
        <w:tc>
          <w:tcPr>
            <w:tcW w:w="2111" w:type="dxa"/>
            <w:vAlign w:val="center"/>
          </w:tcPr>
          <w:p w14:paraId="6218EB9D">
            <w:pPr>
              <w:jc w:val="center"/>
            </w:pPr>
          </w:p>
        </w:tc>
        <w:tc>
          <w:tcPr>
            <w:tcW w:w="1669" w:type="dxa"/>
            <w:gridSpan w:val="2"/>
            <w:vAlign w:val="center"/>
          </w:tcPr>
          <w:p w14:paraId="4AFA5837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A82B0DB">
            <w:pPr>
              <w:jc w:val="center"/>
            </w:pPr>
          </w:p>
        </w:tc>
      </w:tr>
      <w:tr w14:paraId="283A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3D49401E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5D959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3BEA8B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111" w:type="dxa"/>
            <w:vAlign w:val="center"/>
          </w:tcPr>
          <w:p w14:paraId="03F543A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69" w:type="dxa"/>
            <w:gridSpan w:val="2"/>
            <w:vAlign w:val="center"/>
          </w:tcPr>
          <w:p w14:paraId="0C582E8E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7108123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48AAAD3A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230A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06DB2E0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164D5B5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金融机构与金融市场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 w14:paraId="24B93FE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金融专硕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8531D7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07AC08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是</w:t>
            </w:r>
          </w:p>
        </w:tc>
      </w:tr>
      <w:tr w14:paraId="5D7F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426965AE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111" w:type="dxa"/>
            <w:vAlign w:val="center"/>
          </w:tcPr>
          <w:p w14:paraId="37E474D4">
            <w:pPr>
              <w:jc w:val="center"/>
            </w:pPr>
            <w:r>
              <w:rPr>
                <w:rFonts w:hint="eastAsia"/>
              </w:rPr>
              <w:t>金融机构与金融市场</w:t>
            </w:r>
          </w:p>
        </w:tc>
        <w:tc>
          <w:tcPr>
            <w:tcW w:w="1669" w:type="dxa"/>
            <w:gridSpan w:val="2"/>
            <w:vAlign w:val="center"/>
          </w:tcPr>
          <w:p w14:paraId="1F67FCC3">
            <w:pPr>
              <w:jc w:val="center"/>
            </w:pPr>
            <w:r>
              <w:rPr>
                <w:rFonts w:hint="eastAsia"/>
              </w:rPr>
              <w:t>金融专硕</w:t>
            </w:r>
          </w:p>
        </w:tc>
        <w:tc>
          <w:tcPr>
            <w:tcW w:w="1620" w:type="dxa"/>
            <w:gridSpan w:val="2"/>
            <w:vAlign w:val="center"/>
          </w:tcPr>
          <w:p w14:paraId="59531AE9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2340" w:type="dxa"/>
            <w:vAlign w:val="center"/>
          </w:tcPr>
          <w:p w14:paraId="05CE33B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166DC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3CE2F52F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111" w:type="dxa"/>
            <w:vAlign w:val="center"/>
          </w:tcPr>
          <w:p w14:paraId="48E85A4F">
            <w:pPr>
              <w:jc w:val="center"/>
            </w:pPr>
            <w:r>
              <w:rPr>
                <w:rFonts w:hint="eastAsia"/>
              </w:rPr>
              <w:t>金融机构与金融市场</w:t>
            </w:r>
          </w:p>
        </w:tc>
        <w:tc>
          <w:tcPr>
            <w:tcW w:w="1669" w:type="dxa"/>
            <w:gridSpan w:val="2"/>
            <w:vAlign w:val="center"/>
          </w:tcPr>
          <w:p w14:paraId="01039247">
            <w:pPr>
              <w:jc w:val="center"/>
            </w:pPr>
            <w:r>
              <w:rPr>
                <w:rFonts w:hint="eastAsia"/>
              </w:rPr>
              <w:t>金融专硕</w:t>
            </w:r>
          </w:p>
        </w:tc>
        <w:tc>
          <w:tcPr>
            <w:tcW w:w="1620" w:type="dxa"/>
            <w:gridSpan w:val="2"/>
            <w:vAlign w:val="center"/>
          </w:tcPr>
          <w:p w14:paraId="47D98B55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2340" w:type="dxa"/>
            <w:vAlign w:val="center"/>
          </w:tcPr>
          <w:p w14:paraId="72D95243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23E2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6DAD89BA">
            <w:pPr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11" w:type="dxa"/>
            <w:vAlign w:val="center"/>
          </w:tcPr>
          <w:p w14:paraId="20BB61FA">
            <w:pPr>
              <w:jc w:val="center"/>
            </w:pPr>
            <w:r>
              <w:rPr>
                <w:rFonts w:hint="eastAsia"/>
              </w:rPr>
              <w:t>金融机构与金融市场</w:t>
            </w:r>
          </w:p>
        </w:tc>
        <w:tc>
          <w:tcPr>
            <w:tcW w:w="1669" w:type="dxa"/>
            <w:gridSpan w:val="2"/>
            <w:vAlign w:val="center"/>
          </w:tcPr>
          <w:p w14:paraId="6C9EFC1C">
            <w:pPr>
              <w:jc w:val="center"/>
            </w:pPr>
            <w:r>
              <w:rPr>
                <w:rFonts w:hint="eastAsia"/>
              </w:rPr>
              <w:t>金融专硕</w:t>
            </w:r>
          </w:p>
        </w:tc>
        <w:tc>
          <w:tcPr>
            <w:tcW w:w="1620" w:type="dxa"/>
            <w:gridSpan w:val="2"/>
            <w:vAlign w:val="center"/>
          </w:tcPr>
          <w:p w14:paraId="7AAED25C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2340" w:type="dxa"/>
            <w:vAlign w:val="center"/>
          </w:tcPr>
          <w:p w14:paraId="64EA1B5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0F4C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440" w:type="dxa"/>
            <w:shd w:val="clear" w:color="auto" w:fill="auto"/>
            <w:vAlign w:val="center"/>
          </w:tcPr>
          <w:p w14:paraId="10F7173C">
            <w:pPr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111" w:type="dxa"/>
            <w:vAlign w:val="center"/>
          </w:tcPr>
          <w:p w14:paraId="56E07F15">
            <w:pPr>
              <w:jc w:val="center"/>
            </w:pPr>
            <w:r>
              <w:rPr>
                <w:rFonts w:hint="eastAsia"/>
              </w:rPr>
              <w:t>金融机构与金融市场</w:t>
            </w:r>
          </w:p>
        </w:tc>
        <w:tc>
          <w:tcPr>
            <w:tcW w:w="1669" w:type="dxa"/>
            <w:gridSpan w:val="2"/>
            <w:vAlign w:val="center"/>
          </w:tcPr>
          <w:p w14:paraId="43625E9B">
            <w:pPr>
              <w:jc w:val="center"/>
            </w:pPr>
            <w:r>
              <w:rPr>
                <w:rFonts w:hint="eastAsia"/>
              </w:rPr>
              <w:t>金融专硕</w:t>
            </w:r>
          </w:p>
        </w:tc>
        <w:tc>
          <w:tcPr>
            <w:tcW w:w="1620" w:type="dxa"/>
            <w:gridSpan w:val="2"/>
            <w:vAlign w:val="center"/>
          </w:tcPr>
          <w:p w14:paraId="7D280668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340" w:type="dxa"/>
            <w:vAlign w:val="center"/>
          </w:tcPr>
          <w:p w14:paraId="56C5EDCD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</w:tbl>
    <w:p w14:paraId="183E1B70">
      <w:pPr>
        <w:rPr>
          <w:sz w:val="24"/>
        </w:rPr>
      </w:pPr>
    </w:p>
    <w:p w14:paraId="45F0516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4514D6EE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1AA60DC1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35ABC568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6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70AE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144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E3136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16E9D5E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6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560E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558F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16A34282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1AE11510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3E1D220D">
      <w:pPr>
        <w:rPr>
          <w:b/>
          <w:bCs/>
          <w:sz w:val="28"/>
        </w:rPr>
      </w:pPr>
    </w:p>
    <w:p w14:paraId="291C07C1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0135C55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6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3851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6A9F727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29DA8504"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该同志政治立场坚定，思想表现良好，严格遵守党的纪律，意识形态方面无不良倾向；师德师风端正，爱岗敬业，关爱学生；学术道德严谨，恪守学术规范，无学术不端行为。同意推荐。</w:t>
            </w:r>
          </w:p>
          <w:p w14:paraId="57F0F314">
            <w:pPr>
              <w:rPr>
                <w:szCs w:val="21"/>
              </w:rPr>
            </w:pPr>
          </w:p>
          <w:p w14:paraId="686B15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40B30B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687D92BD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2025年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月2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</w:t>
            </w:r>
            <w:bookmarkStart w:id="0" w:name="_GoBack"/>
            <w:bookmarkEnd w:id="0"/>
          </w:p>
        </w:tc>
      </w:tr>
      <w:tr w14:paraId="1A2C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533A289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1A98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7D0CC30A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382913CD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1EC55471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36FDE68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6DB7929F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66282807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45434953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517F2A5C">
            <w:r>
              <w:rPr>
                <w:rFonts w:hint="eastAsia"/>
              </w:rPr>
              <w:t xml:space="preserve">              人</w:t>
            </w:r>
          </w:p>
        </w:tc>
      </w:tr>
      <w:tr w14:paraId="1ECD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64166C5C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4BD5772D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0A116EFD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0F59ACB1"/>
          <w:p w14:paraId="6ED4D361">
            <w:r>
              <w:rPr>
                <w:rFonts w:hint="eastAsia"/>
              </w:rPr>
              <w:t xml:space="preserve">                 </w:t>
            </w:r>
          </w:p>
          <w:p w14:paraId="02F66E79"/>
          <w:p w14:paraId="5F0C73F7"/>
          <w:p w14:paraId="65F56A01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786FA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11B5C6F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64F7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72AB7311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152094DC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11858134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7474E629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685806A1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35764EF1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52B17820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3DE16B4B">
            <w:r>
              <w:rPr>
                <w:rFonts w:hint="eastAsia"/>
              </w:rPr>
              <w:t xml:space="preserve">        人</w:t>
            </w:r>
          </w:p>
        </w:tc>
      </w:tr>
      <w:tr w14:paraId="2A53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0E42153E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765B78F7">
            <w:pPr>
              <w:jc w:val="center"/>
            </w:pPr>
          </w:p>
          <w:p w14:paraId="63846035">
            <w:pPr>
              <w:jc w:val="center"/>
            </w:pPr>
          </w:p>
          <w:p w14:paraId="780B674F">
            <w:pPr>
              <w:jc w:val="center"/>
            </w:pPr>
          </w:p>
          <w:p w14:paraId="6010A9F7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2AB4D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390E0C8F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7594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044F32EE">
            <w:r>
              <w:rPr>
                <w:rFonts w:hint="eastAsia"/>
              </w:rPr>
              <w:t>送评</w:t>
            </w:r>
          </w:p>
          <w:p w14:paraId="3D0CA885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11308E21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729E5893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E77EC4C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6A1E6A0D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61C75348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6187682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9681B18">
            <w:r>
              <w:rPr>
                <w:rFonts w:hint="eastAsia"/>
              </w:rPr>
              <w:t xml:space="preserve">        人</w:t>
            </w:r>
          </w:p>
        </w:tc>
      </w:tr>
      <w:tr w14:paraId="022A6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137578DB">
            <w:r>
              <w:rPr>
                <w:rFonts w:hint="eastAsia"/>
              </w:rPr>
              <w:t>1.简要评价（包括不足之处）</w:t>
            </w:r>
          </w:p>
          <w:p w14:paraId="4C670180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6EC9377E"/>
          <w:p w14:paraId="3DBFE937">
            <w:r>
              <w:rPr>
                <w:rFonts w:hint="eastAsia"/>
              </w:rPr>
              <w:t xml:space="preserve">              </w:t>
            </w:r>
          </w:p>
          <w:p w14:paraId="0C43FDB1"/>
          <w:p w14:paraId="6C491A13">
            <w:pPr>
              <w:jc w:val="center"/>
            </w:pPr>
          </w:p>
          <w:p w14:paraId="1E0AAAB8">
            <w:pPr>
              <w:jc w:val="center"/>
            </w:pPr>
          </w:p>
          <w:p w14:paraId="64EECD27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32D3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4C11B91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0F780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4750F14C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7DDEA577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58F9F58E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22899F0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4DD81695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BAB15F9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0FB8FAC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68AAF8C3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0767A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714B076D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4F46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2C2CD6B7">
            <w:pPr>
              <w:ind w:firstLine="1890" w:firstLineChars="900"/>
            </w:pPr>
          </w:p>
          <w:p w14:paraId="63CC4885">
            <w:pPr>
              <w:ind w:firstLine="1890" w:firstLineChars="900"/>
            </w:pPr>
          </w:p>
          <w:p w14:paraId="2793EFAE"/>
          <w:p w14:paraId="29681E5E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259C3B51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dobeFangsongStd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22707">
    <w:pPr>
      <w:pStyle w:val="3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5F068AAD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3BCC2">
    <w:pPr>
      <w:pStyle w:val="3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4</w:t>
    </w:r>
    <w:r>
      <w:fldChar w:fldCharType="end"/>
    </w:r>
  </w:p>
  <w:p w14:paraId="26870F00"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43144"/>
    <w:rsid w:val="000576DA"/>
    <w:rsid w:val="0017181D"/>
    <w:rsid w:val="00172A27"/>
    <w:rsid w:val="001F4EC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30978"/>
    <w:rsid w:val="00452B45"/>
    <w:rsid w:val="004B7601"/>
    <w:rsid w:val="00575ABF"/>
    <w:rsid w:val="005C4D10"/>
    <w:rsid w:val="0062435D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B73A7"/>
    <w:rsid w:val="00FD567E"/>
    <w:rsid w:val="013174EC"/>
    <w:rsid w:val="01F42D45"/>
    <w:rsid w:val="03577A2F"/>
    <w:rsid w:val="03662D58"/>
    <w:rsid w:val="068B011B"/>
    <w:rsid w:val="06A27213"/>
    <w:rsid w:val="079E5C2C"/>
    <w:rsid w:val="07AE01F0"/>
    <w:rsid w:val="089579FA"/>
    <w:rsid w:val="0B1C3A38"/>
    <w:rsid w:val="0B5F1B77"/>
    <w:rsid w:val="0C3B1C9C"/>
    <w:rsid w:val="0CF2740A"/>
    <w:rsid w:val="0D2070E4"/>
    <w:rsid w:val="0D50644D"/>
    <w:rsid w:val="0E107EF4"/>
    <w:rsid w:val="0E910299"/>
    <w:rsid w:val="0F1217BA"/>
    <w:rsid w:val="0F421593"/>
    <w:rsid w:val="0FC63F72"/>
    <w:rsid w:val="119B18B2"/>
    <w:rsid w:val="12A6255F"/>
    <w:rsid w:val="145E0C1D"/>
    <w:rsid w:val="14636234"/>
    <w:rsid w:val="15E462E1"/>
    <w:rsid w:val="15F1161D"/>
    <w:rsid w:val="161C54F8"/>
    <w:rsid w:val="17FB2994"/>
    <w:rsid w:val="18510AEB"/>
    <w:rsid w:val="188E5C84"/>
    <w:rsid w:val="197C1B46"/>
    <w:rsid w:val="199F29A4"/>
    <w:rsid w:val="1D3C7B1F"/>
    <w:rsid w:val="1F7C289F"/>
    <w:rsid w:val="1FC55BF9"/>
    <w:rsid w:val="1FE16BA6"/>
    <w:rsid w:val="20925C43"/>
    <w:rsid w:val="21A104CB"/>
    <w:rsid w:val="21FA5CFD"/>
    <w:rsid w:val="25DA526E"/>
    <w:rsid w:val="25FD5DBC"/>
    <w:rsid w:val="26680A5E"/>
    <w:rsid w:val="279D5033"/>
    <w:rsid w:val="29C556B2"/>
    <w:rsid w:val="2B341F35"/>
    <w:rsid w:val="2CB80F55"/>
    <w:rsid w:val="2DA82AB1"/>
    <w:rsid w:val="2E1A01B5"/>
    <w:rsid w:val="2EC004DA"/>
    <w:rsid w:val="2EEA29C1"/>
    <w:rsid w:val="30A62EE5"/>
    <w:rsid w:val="32345EF8"/>
    <w:rsid w:val="32F01183"/>
    <w:rsid w:val="342D0631"/>
    <w:rsid w:val="34BD6E42"/>
    <w:rsid w:val="35B5220F"/>
    <w:rsid w:val="35F42D38"/>
    <w:rsid w:val="3AD44EE6"/>
    <w:rsid w:val="3C4B567C"/>
    <w:rsid w:val="3F9F5A84"/>
    <w:rsid w:val="410D1762"/>
    <w:rsid w:val="41276FC5"/>
    <w:rsid w:val="41BD6AE9"/>
    <w:rsid w:val="436A0531"/>
    <w:rsid w:val="43797D0F"/>
    <w:rsid w:val="46EC492A"/>
    <w:rsid w:val="4A646F15"/>
    <w:rsid w:val="4AF5003F"/>
    <w:rsid w:val="4B6977AB"/>
    <w:rsid w:val="4D247ECF"/>
    <w:rsid w:val="4DC25072"/>
    <w:rsid w:val="4DCB3509"/>
    <w:rsid w:val="504B2B91"/>
    <w:rsid w:val="516279E3"/>
    <w:rsid w:val="52860D64"/>
    <w:rsid w:val="538057B3"/>
    <w:rsid w:val="53AE2320"/>
    <w:rsid w:val="54BC76DD"/>
    <w:rsid w:val="571526B6"/>
    <w:rsid w:val="58483963"/>
    <w:rsid w:val="591E3AA4"/>
    <w:rsid w:val="5C043425"/>
    <w:rsid w:val="5D262AC8"/>
    <w:rsid w:val="5D2D2508"/>
    <w:rsid w:val="5DEA664B"/>
    <w:rsid w:val="5E174F66"/>
    <w:rsid w:val="5F8F74AA"/>
    <w:rsid w:val="61630BEE"/>
    <w:rsid w:val="634F193B"/>
    <w:rsid w:val="637075F2"/>
    <w:rsid w:val="650049A6"/>
    <w:rsid w:val="66ED5774"/>
    <w:rsid w:val="6756252D"/>
    <w:rsid w:val="68686AEA"/>
    <w:rsid w:val="68D67EF7"/>
    <w:rsid w:val="6A3550F2"/>
    <w:rsid w:val="6A8A4544"/>
    <w:rsid w:val="6B5A319C"/>
    <w:rsid w:val="6C2027C1"/>
    <w:rsid w:val="6CA32F55"/>
    <w:rsid w:val="6EFC4273"/>
    <w:rsid w:val="70813136"/>
    <w:rsid w:val="71AF37C9"/>
    <w:rsid w:val="71F77BB8"/>
    <w:rsid w:val="72AC1CC9"/>
    <w:rsid w:val="759C6025"/>
    <w:rsid w:val="76D57A40"/>
    <w:rsid w:val="77C667FC"/>
    <w:rsid w:val="78BB4A14"/>
    <w:rsid w:val="79C30ECF"/>
    <w:rsid w:val="7B6A44CF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</w:style>
  <w:style w:type="character" w:styleId="10">
    <w:name w:val="Hyperlink"/>
    <w:basedOn w:val="7"/>
    <w:semiHidden/>
    <w:unhideWhenUsed/>
    <w:qFormat/>
    <w:uiPriority w:val="0"/>
    <w:rPr>
      <w:color w:val="0000FF"/>
      <w:u w:val="single"/>
    </w:rPr>
  </w:style>
  <w:style w:type="character" w:customStyle="1" w:styleId="11">
    <w:name w:val="fontstyle01"/>
    <w:basedOn w:val="7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12">
    <w:name w:val="fontstyle21"/>
    <w:basedOn w:val="7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8</Pages>
  <Words>3655</Words>
  <Characters>4185</Characters>
  <Lines>17</Lines>
  <Paragraphs>11</Paragraphs>
  <TotalTime>5</TotalTime>
  <ScaleCrop>false</ScaleCrop>
  <LinksUpToDate>false</LinksUpToDate>
  <CharactersWithSpaces>4773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Audit-骅</cp:lastModifiedBy>
  <cp:lastPrinted>2025-04-24T02:35:00Z</cp:lastPrinted>
  <dcterms:modified xsi:type="dcterms:W3CDTF">2025-11-23T08:16:08Z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eyJoZGlkIjoiZjQwNjU1MGE2ZDk1MWM3NGYyMzU3ZDAwYmU1OWIwZWUiLCJ1c2VySWQiOiIxMzAwMzgxMjYwIn0=</vt:lpwstr>
  </property>
</Properties>
</file>